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horzAnchor="margin" w:tblpY="420"/>
        <w:tblW w:w="0" w:type="auto"/>
        <w:tblLook w:val="04A0"/>
      </w:tblPr>
      <w:tblGrid>
        <w:gridCol w:w="951"/>
        <w:gridCol w:w="3181"/>
        <w:gridCol w:w="5156"/>
      </w:tblGrid>
      <w:tr w:rsidR="004E2FAC" w:rsidTr="004E2FAC">
        <w:tc>
          <w:tcPr>
            <w:tcW w:w="951" w:type="dxa"/>
            <w:tcBorders>
              <w:bottom w:val="single" w:sz="4" w:space="0" w:color="000000" w:themeColor="text1"/>
            </w:tcBorders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  <w:r w:rsidRPr="007D489F">
              <w:rPr>
                <w:rFonts w:ascii="Calibri" w:hAnsi="Calibri"/>
                <w:b/>
                <w:sz w:val="18"/>
                <w:szCs w:val="18"/>
              </w:rPr>
              <w:t>Działanie PROW</w:t>
            </w:r>
          </w:p>
        </w:tc>
        <w:tc>
          <w:tcPr>
            <w:tcW w:w="3181" w:type="dxa"/>
            <w:shd w:val="clear" w:color="auto" w:fill="B6DDE8" w:themeFill="accent5" w:themeFillTint="66"/>
          </w:tcPr>
          <w:p w:rsidR="004E2FAC" w:rsidRPr="007D489F" w:rsidRDefault="004E2FAC" w:rsidP="004E2FA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7D489F">
              <w:rPr>
                <w:rFonts w:ascii="Calibri" w:hAnsi="Calibri"/>
                <w:b/>
                <w:sz w:val="18"/>
                <w:szCs w:val="18"/>
              </w:rPr>
              <w:t>Lokalne kryteria oceny operacji</w:t>
            </w:r>
          </w:p>
        </w:tc>
        <w:tc>
          <w:tcPr>
            <w:tcW w:w="5156" w:type="dxa"/>
            <w:shd w:val="clear" w:color="auto" w:fill="B6DDE8" w:themeFill="accent5" w:themeFillTint="66"/>
          </w:tcPr>
          <w:p w:rsidR="004E2FAC" w:rsidRPr="007D489F" w:rsidRDefault="004E2FAC" w:rsidP="004E2FAC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7D489F">
              <w:rPr>
                <w:rFonts w:ascii="Calibri" w:hAnsi="Calibri"/>
                <w:b/>
                <w:sz w:val="18"/>
                <w:szCs w:val="18"/>
              </w:rPr>
              <w:t xml:space="preserve">Adekwatność do SWOT/uzasadnienie </w:t>
            </w:r>
          </w:p>
        </w:tc>
      </w:tr>
      <w:tr w:rsidR="004E2FAC" w:rsidTr="004E2FAC">
        <w:tc>
          <w:tcPr>
            <w:tcW w:w="951" w:type="dxa"/>
            <w:vMerge w:val="restart"/>
            <w:shd w:val="clear" w:color="auto" w:fill="B6DDE8" w:themeFill="accent5" w:themeFillTint="66"/>
            <w:textDirection w:val="btLr"/>
            <w:vAlign w:val="center"/>
          </w:tcPr>
          <w:p w:rsidR="004E2FAC" w:rsidRDefault="004E2FAC" w:rsidP="004E2FAC">
            <w:pPr>
              <w:ind w:left="113" w:right="113"/>
              <w:jc w:val="center"/>
              <w:rPr>
                <w:rFonts w:ascii="Calibri" w:hAnsi="Calibri"/>
              </w:rPr>
            </w:pPr>
            <w:r>
              <w:rPr>
                <w:rFonts w:cs="Calibri"/>
                <w:b/>
                <w:sz w:val="24"/>
                <w:szCs w:val="24"/>
              </w:rPr>
              <w:t>Odnowa i rozwój wsi</w:t>
            </w:r>
          </w:p>
        </w:tc>
        <w:tc>
          <w:tcPr>
            <w:tcW w:w="3181" w:type="dxa"/>
            <w:vAlign w:val="center"/>
          </w:tcPr>
          <w:p w:rsidR="004E2FAC" w:rsidRPr="007D489F" w:rsidRDefault="004E2FAC" w:rsidP="004E2FAC">
            <w:pPr>
              <w:pStyle w:val="Bezodstpw"/>
              <w:numPr>
                <w:ilvl w:val="0"/>
                <w:numId w:val="1"/>
              </w:numPr>
              <w:ind w:left="459"/>
              <w:rPr>
                <w:sz w:val="18"/>
                <w:szCs w:val="18"/>
              </w:rPr>
            </w:pPr>
            <w:r w:rsidRPr="007D489F">
              <w:rPr>
                <w:sz w:val="18"/>
                <w:szCs w:val="18"/>
              </w:rPr>
              <w:t>Promocja obszaru LGD z wykorzystaniem logotypu LGD w realizacji operacji -</w:t>
            </w:r>
            <w:r w:rsidRPr="007D489F">
              <w:rPr>
                <w:color w:val="FF0000"/>
                <w:sz w:val="18"/>
                <w:szCs w:val="18"/>
              </w:rPr>
              <w:t xml:space="preserve">0-3 pkt. </w:t>
            </w:r>
          </w:p>
          <w:p w:rsidR="004E2FAC" w:rsidRPr="007D489F" w:rsidRDefault="004E2FAC" w:rsidP="004E2FAC">
            <w:pPr>
              <w:pStyle w:val="Bezodstpw"/>
              <w:ind w:left="360"/>
              <w:rPr>
                <w:sz w:val="18"/>
                <w:szCs w:val="18"/>
              </w:rPr>
            </w:pPr>
          </w:p>
        </w:tc>
        <w:tc>
          <w:tcPr>
            <w:tcW w:w="5156" w:type="dxa"/>
          </w:tcPr>
          <w:p w:rsidR="004E2FAC" w:rsidRPr="007D489F" w:rsidRDefault="004E2FAC" w:rsidP="004E2FAC">
            <w:pPr>
              <w:rPr>
                <w:rFonts w:ascii="Calibri" w:hAnsi="Calibri"/>
                <w:sz w:val="18"/>
                <w:szCs w:val="18"/>
              </w:rPr>
            </w:pPr>
            <w:r w:rsidRPr="007D489F">
              <w:rPr>
                <w:rFonts w:ascii="Calibri" w:hAnsi="Calibri"/>
                <w:sz w:val="18"/>
                <w:szCs w:val="18"/>
              </w:rPr>
              <w:t xml:space="preserve">Kryterium adekwatne do SWOT gdzie w słabych stronach wykazano m.in. </w:t>
            </w:r>
            <w:r w:rsidRPr="007D489F">
              <w:rPr>
                <w:rFonts w:ascii="Calibri" w:hAnsi="Calibri"/>
                <w:color w:val="000000"/>
                <w:sz w:val="18"/>
                <w:szCs w:val="18"/>
              </w:rPr>
              <w:t>brak lokalnej, jednolitej marki (powszechnie rozpoznawalnego logotypu) identyfikującej obszar, s</w:t>
            </w:r>
            <w:r w:rsidRPr="007D489F">
              <w:rPr>
                <w:rFonts w:ascii="Calibri" w:hAnsi="Calibri"/>
                <w:sz w:val="18"/>
                <w:szCs w:val="18"/>
              </w:rPr>
              <w:t>łaba promocja obszaru LGD, gmin i miejscowości, Słaby dostęp do Internetu i małe umiejętności wykorzystania IT do rozwoju lokalnych społeczności i inicjatyw, brak koordynacji działań pomiędzy partnerami lokalnymi w gminach.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  <w:vAlign w:val="center"/>
          </w:tcPr>
          <w:p w:rsidR="004E2FAC" w:rsidRPr="007D489F" w:rsidRDefault="004E2FAC" w:rsidP="004E2FAC">
            <w:pPr>
              <w:pStyle w:val="Bezodstpw"/>
              <w:numPr>
                <w:ilvl w:val="0"/>
                <w:numId w:val="1"/>
              </w:numPr>
              <w:ind w:left="459"/>
              <w:rPr>
                <w:sz w:val="18"/>
                <w:szCs w:val="18"/>
              </w:rPr>
            </w:pPr>
            <w:r w:rsidRPr="007D489F">
              <w:rPr>
                <w:sz w:val="18"/>
                <w:szCs w:val="18"/>
              </w:rPr>
              <w:t>Wnioskodawca realizował dotychczas ze środków zewnętrznych (innych niż własne):</w:t>
            </w:r>
          </w:p>
          <w:p w:rsidR="004E2FAC" w:rsidRPr="007D489F" w:rsidRDefault="004E2FAC" w:rsidP="004E2FAC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7D489F">
              <w:rPr>
                <w:sz w:val="18"/>
                <w:szCs w:val="18"/>
              </w:rPr>
              <w:t>Powyżej 3 projektów - 3 pkt.</w:t>
            </w:r>
          </w:p>
          <w:p w:rsidR="004E2FAC" w:rsidRPr="007D489F" w:rsidRDefault="004E2FAC" w:rsidP="004E2FAC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7D489F">
              <w:rPr>
                <w:sz w:val="18"/>
                <w:szCs w:val="18"/>
              </w:rPr>
              <w:t xml:space="preserve">2-3 projekty </w:t>
            </w:r>
            <w:r>
              <w:rPr>
                <w:sz w:val="18"/>
                <w:szCs w:val="18"/>
              </w:rPr>
              <w:t xml:space="preserve">              </w:t>
            </w:r>
            <w:r w:rsidRPr="007D489F">
              <w:rPr>
                <w:sz w:val="18"/>
                <w:szCs w:val="18"/>
              </w:rPr>
              <w:t>-  2 pkt.</w:t>
            </w:r>
          </w:p>
          <w:p w:rsidR="004E2FAC" w:rsidRPr="007D489F" w:rsidRDefault="004E2FAC" w:rsidP="004E2FAC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7D489F">
              <w:rPr>
                <w:sz w:val="18"/>
                <w:szCs w:val="18"/>
              </w:rPr>
              <w:t>1 projekt</w:t>
            </w:r>
            <w:r w:rsidRPr="007D489F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    </w:t>
            </w:r>
            <w:r w:rsidRPr="007D489F">
              <w:rPr>
                <w:sz w:val="18"/>
                <w:szCs w:val="18"/>
              </w:rPr>
              <w:t>- 1 pkt.</w:t>
            </w:r>
          </w:p>
          <w:p w:rsidR="004E2FAC" w:rsidRPr="007D489F" w:rsidRDefault="004E2FAC" w:rsidP="004E2FAC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7D489F">
              <w:rPr>
                <w:sz w:val="18"/>
                <w:szCs w:val="18"/>
              </w:rPr>
              <w:t xml:space="preserve">Żadnego projektu </w:t>
            </w:r>
            <w:r>
              <w:rPr>
                <w:sz w:val="18"/>
                <w:szCs w:val="18"/>
              </w:rPr>
              <w:t xml:space="preserve">    </w:t>
            </w:r>
            <w:r w:rsidRPr="007D489F">
              <w:rPr>
                <w:sz w:val="18"/>
                <w:szCs w:val="18"/>
              </w:rPr>
              <w:t>- 0 pkt.</w:t>
            </w:r>
          </w:p>
        </w:tc>
        <w:tc>
          <w:tcPr>
            <w:tcW w:w="5156" w:type="dxa"/>
          </w:tcPr>
          <w:p w:rsidR="004E2FAC" w:rsidRPr="007D489F" w:rsidRDefault="004E2FAC" w:rsidP="004E2FAC">
            <w:pPr>
              <w:rPr>
                <w:rFonts w:ascii="Calibri" w:hAnsi="Calibri"/>
                <w:sz w:val="18"/>
                <w:szCs w:val="18"/>
              </w:rPr>
            </w:pPr>
            <w:r w:rsidRPr="007D489F">
              <w:rPr>
                <w:rFonts w:ascii="Calibri" w:hAnsi="Calibri"/>
                <w:sz w:val="18"/>
                <w:szCs w:val="18"/>
              </w:rPr>
              <w:t xml:space="preserve">Ze względu na sprawne zarządzanie LSR </w:t>
            </w:r>
            <w:r w:rsidRPr="007D489F">
              <w:rPr>
                <w:rFonts w:ascii="Calibri" w:hAnsi="Calibri" w:cs="Arial"/>
                <w:sz w:val="18"/>
                <w:szCs w:val="18"/>
                <w:lang w:eastAsia="ar-SA"/>
              </w:rPr>
              <w:t>preferuje wnioskodawców doświadczonych w obszarach, których dotyczą projekty, zapewniających sprawną i z dużym prawdopodobieństwem skuteczną realizację projektów.</w:t>
            </w:r>
            <w:r w:rsidRPr="007D489F">
              <w:rPr>
                <w:rFonts w:ascii="Calibri" w:hAnsi="Calibri" w:cs="Arial"/>
                <w:i/>
                <w:sz w:val="18"/>
                <w:szCs w:val="18"/>
                <w:lang w:eastAsia="ar-SA"/>
              </w:rPr>
              <w:t xml:space="preserve"> </w:t>
            </w:r>
            <w:r w:rsidRPr="007D489F">
              <w:rPr>
                <w:rFonts w:ascii="Calibri" w:hAnsi="Calibri" w:cs="Arial"/>
                <w:i/>
                <w:sz w:val="18"/>
                <w:szCs w:val="18"/>
                <w:lang w:eastAsia="ar-SA"/>
              </w:rPr>
              <w:br/>
            </w:r>
            <w:r w:rsidRPr="007D489F">
              <w:rPr>
                <w:rFonts w:ascii="Calibri" w:hAnsi="Calibri" w:cs="Arial"/>
                <w:sz w:val="18"/>
                <w:szCs w:val="18"/>
                <w:lang w:eastAsia="ar-SA"/>
              </w:rPr>
              <w:t>Weryfikacja na podstawie umowy o dofinansowanie projektu.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  <w:vAlign w:val="center"/>
          </w:tcPr>
          <w:p w:rsidR="004E2FAC" w:rsidRPr="007D489F" w:rsidRDefault="004E2FAC" w:rsidP="004E2FAC">
            <w:pPr>
              <w:pStyle w:val="Bezodstpw"/>
              <w:numPr>
                <w:ilvl w:val="0"/>
                <w:numId w:val="1"/>
              </w:numPr>
              <w:ind w:left="459"/>
              <w:rPr>
                <w:sz w:val="18"/>
                <w:szCs w:val="18"/>
              </w:rPr>
            </w:pPr>
            <w:r w:rsidRPr="007D489F">
              <w:rPr>
                <w:sz w:val="18"/>
                <w:szCs w:val="18"/>
              </w:rPr>
              <w:t>Realizacja operacji przyczyni się do zwiększenia dostępu mieszkańców do infrastruktury społecznej, kulturalnej i rekreacyjnej –0- 3 pkt.</w:t>
            </w:r>
          </w:p>
          <w:p w:rsidR="004E2FAC" w:rsidRPr="007D489F" w:rsidRDefault="004E2FAC" w:rsidP="004E2FAC">
            <w:pPr>
              <w:pStyle w:val="Bezodstpw"/>
              <w:ind w:left="720"/>
              <w:rPr>
                <w:sz w:val="18"/>
                <w:szCs w:val="18"/>
              </w:rPr>
            </w:pPr>
          </w:p>
        </w:tc>
        <w:tc>
          <w:tcPr>
            <w:tcW w:w="5156" w:type="dxa"/>
          </w:tcPr>
          <w:p w:rsidR="004E2FAC" w:rsidRPr="007D489F" w:rsidRDefault="004E2FAC" w:rsidP="004E2FAC">
            <w:pPr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 w:rsidRPr="007D489F">
              <w:rPr>
                <w:rFonts w:ascii="Calibri" w:hAnsi="Calibri"/>
                <w:sz w:val="18"/>
                <w:szCs w:val="18"/>
              </w:rPr>
              <w:t xml:space="preserve">W analizie SWOT wskazano jako słaba stronę i poważny problem m.in. słaby dostęp mieszkańców do infrastruktury społecznej, kulturalnej i rekreacyjnej, niewystarczająca ilość obiektów sportowych, mała ilość i jakość placów zabaw, miejsc rekreacji i wypoczynku dla mieszkańców, Zły stan techniczny obiektów placówek opieki zdrowotnej w gminach Dąbrowa Chełmińska i Pruszcz, Mała ilość przedszkoli w gminach. </w:t>
            </w:r>
            <w:r w:rsidRPr="007D489F">
              <w:rPr>
                <w:rFonts w:ascii="Calibri" w:hAnsi="Calibri"/>
                <w:color w:val="00B050"/>
                <w:sz w:val="18"/>
                <w:szCs w:val="18"/>
              </w:rPr>
              <w:t xml:space="preserve"> </w:t>
            </w:r>
            <w:r w:rsidRPr="007D489F">
              <w:rPr>
                <w:rFonts w:ascii="Calibri" w:hAnsi="Calibri"/>
                <w:color w:val="FF0000"/>
                <w:sz w:val="18"/>
                <w:szCs w:val="18"/>
              </w:rPr>
              <w:t>Jest to kryterium uzasadniające realizację operacji w ramach LSR.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  <w:vAlign w:val="center"/>
          </w:tcPr>
          <w:p w:rsidR="004E2FAC" w:rsidRPr="007D489F" w:rsidRDefault="004E2FAC" w:rsidP="004E2FAC">
            <w:pPr>
              <w:pStyle w:val="Bezodstpw"/>
              <w:numPr>
                <w:ilvl w:val="0"/>
                <w:numId w:val="1"/>
              </w:numPr>
              <w:ind w:left="459"/>
              <w:rPr>
                <w:color w:val="FF0000"/>
                <w:sz w:val="18"/>
                <w:szCs w:val="18"/>
              </w:rPr>
            </w:pPr>
            <w:r w:rsidRPr="007D489F">
              <w:rPr>
                <w:color w:val="FF0000"/>
                <w:sz w:val="18"/>
                <w:szCs w:val="18"/>
              </w:rPr>
              <w:t xml:space="preserve"> W jakim stopniu realizacja operacji przyczyni się do osiągnięcia wskaźników produktu i rezultatu określonych w LSR  0-5 pkt.</w:t>
            </w:r>
          </w:p>
        </w:tc>
        <w:tc>
          <w:tcPr>
            <w:tcW w:w="5156" w:type="dxa"/>
          </w:tcPr>
          <w:p w:rsidR="004E2FAC" w:rsidRPr="007D489F" w:rsidRDefault="004E2FAC" w:rsidP="004E2FA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7D489F">
              <w:rPr>
                <w:rFonts w:ascii="Calibri" w:hAnsi="Calibri"/>
                <w:color w:val="FF0000"/>
                <w:sz w:val="18"/>
                <w:szCs w:val="18"/>
              </w:rPr>
              <w:t xml:space="preserve">Ze względu na konieczność realizacji wskaźników określonych w LSR preferowane będą operacje, których przeprowadzenie w znacznym stopniu przyczyni się do osiągnięcia tych  wskaźników. </w:t>
            </w:r>
            <w:r w:rsidRPr="007D489F">
              <w:rPr>
                <w:rFonts w:ascii="Calibri" w:hAnsi="Calibri"/>
                <w:color w:val="00B050"/>
                <w:sz w:val="18"/>
                <w:szCs w:val="18"/>
              </w:rPr>
              <w:t xml:space="preserve"> </w:t>
            </w:r>
            <w:r w:rsidRPr="007D489F">
              <w:rPr>
                <w:rFonts w:ascii="Calibri" w:hAnsi="Calibri"/>
                <w:color w:val="FF0000"/>
                <w:sz w:val="18"/>
                <w:szCs w:val="18"/>
              </w:rPr>
              <w:t>Najwyżej punktowane będą operacje, które przyczyniają się do osiągnięcia kilku wskaźników.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  <w:vAlign w:val="center"/>
          </w:tcPr>
          <w:p w:rsidR="004E2FAC" w:rsidRPr="007D489F" w:rsidRDefault="004E2FAC" w:rsidP="004E2FAC">
            <w:pPr>
              <w:pStyle w:val="Bezodstpw"/>
              <w:numPr>
                <w:ilvl w:val="0"/>
                <w:numId w:val="1"/>
              </w:numPr>
              <w:ind w:left="459"/>
              <w:rPr>
                <w:color w:val="FF0000"/>
                <w:sz w:val="18"/>
                <w:szCs w:val="18"/>
              </w:rPr>
            </w:pPr>
            <w:r w:rsidRPr="007D489F">
              <w:rPr>
                <w:color w:val="FF0000"/>
                <w:sz w:val="18"/>
                <w:szCs w:val="18"/>
              </w:rPr>
              <w:t>Ope</w:t>
            </w:r>
            <w:r>
              <w:rPr>
                <w:color w:val="FF0000"/>
                <w:sz w:val="18"/>
                <w:szCs w:val="18"/>
              </w:rPr>
              <w:t xml:space="preserve">racja ma charakter innowacyjny </w:t>
            </w:r>
          </w:p>
          <w:p w:rsidR="004E2FAC" w:rsidRPr="007D489F" w:rsidRDefault="004E2FAC" w:rsidP="004E2FAC">
            <w:pPr>
              <w:pStyle w:val="Bezodstpw"/>
              <w:ind w:left="360"/>
              <w:rPr>
                <w:color w:val="FF0000"/>
                <w:sz w:val="18"/>
                <w:szCs w:val="18"/>
              </w:rPr>
            </w:pPr>
            <w:r w:rsidRPr="007D489F">
              <w:rPr>
                <w:color w:val="FF0000"/>
                <w:sz w:val="18"/>
                <w:szCs w:val="18"/>
              </w:rPr>
              <w:t>-    tak – 2 pkt</w:t>
            </w:r>
          </w:p>
          <w:p w:rsidR="004E2FAC" w:rsidRPr="007D489F" w:rsidRDefault="004E2FAC" w:rsidP="004E2FAC">
            <w:pPr>
              <w:pStyle w:val="Bezodstpw"/>
              <w:rPr>
                <w:color w:val="FF0000"/>
                <w:sz w:val="18"/>
                <w:szCs w:val="18"/>
              </w:rPr>
            </w:pPr>
            <w:r w:rsidRPr="007D489F">
              <w:rPr>
                <w:color w:val="FF0000"/>
                <w:sz w:val="18"/>
                <w:szCs w:val="18"/>
              </w:rPr>
              <w:t xml:space="preserve">         -    nie – 0 pkt. </w:t>
            </w:r>
          </w:p>
        </w:tc>
        <w:tc>
          <w:tcPr>
            <w:tcW w:w="5156" w:type="dxa"/>
          </w:tcPr>
          <w:p w:rsidR="004E2FAC" w:rsidRPr="007D489F" w:rsidRDefault="004E2FAC" w:rsidP="004E2FA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7D489F">
              <w:rPr>
                <w:rFonts w:ascii="Calibri" w:hAnsi="Calibri"/>
                <w:color w:val="FF0000"/>
                <w:sz w:val="18"/>
                <w:szCs w:val="18"/>
              </w:rPr>
              <w:t>Kryterium adekwatne do SWOT, gdzie wskazano potrzebę poszukiwania innowacyjnych rozwiązań w kierunku rozwoju lokalnego obszaru objętego LSR.</w:t>
            </w:r>
            <w:r w:rsidRPr="002262E5">
              <w:rPr>
                <w:rFonts w:ascii="Calibri" w:hAnsi="Calibri" w:cs="Arial"/>
                <w:color w:val="FF0000"/>
                <w:sz w:val="18"/>
                <w:szCs w:val="18"/>
              </w:rPr>
              <w:t xml:space="preserve"> Innowacyjny tj. oparty na zasobach trzech sektorów społecznego, gospodarczego i publicznego, zakładający nowe rozwiązania dla rozwoju gospodarczego obszaru, rozwoju turystyki i produktów lokalnych, łączący zasoby przyrody, kultury, talentów i tradycji ludzkich, a także zaangażowanie organizacji i instytucji lokalnych, jak również służący integracji i aktywizacji społeczności lokalnej.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  <w:vAlign w:val="center"/>
          </w:tcPr>
          <w:p w:rsidR="004E2FAC" w:rsidRDefault="004E2FAC" w:rsidP="004E2FAC">
            <w:pPr>
              <w:pStyle w:val="Bezodstpw"/>
              <w:numPr>
                <w:ilvl w:val="0"/>
                <w:numId w:val="1"/>
              </w:numPr>
              <w:suppressAutoHyphens/>
              <w:snapToGrid w:val="0"/>
              <w:ind w:left="459"/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Realizacja operacji ma charakter zintegrowany (maksymalnie 3 pkt.)</w:t>
            </w:r>
          </w:p>
          <w:p w:rsidR="004E2FAC" w:rsidRDefault="004E2FAC" w:rsidP="004E2FAC">
            <w:pPr>
              <w:pStyle w:val="Bezodstpw"/>
              <w:ind w:left="99"/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>a) zakłada współpracę różnych podmiotów –</w:t>
            </w: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color w:val="FF0000"/>
                <w:sz w:val="18"/>
                <w:szCs w:val="18"/>
              </w:rPr>
              <w:br/>
              <w:t>0 lub 1 pkt.</w:t>
            </w:r>
          </w:p>
          <w:p w:rsidR="004E2FAC" w:rsidRDefault="004E2FAC" w:rsidP="004E2FAC">
            <w:pPr>
              <w:pStyle w:val="Bezodstpw"/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 xml:space="preserve">  b) zakłada wykorzystanie różnych zasobów lokalnych – </w:t>
            </w:r>
            <w:r>
              <w:rPr>
                <w:rFonts w:ascii="Arial Narrow" w:hAnsi="Arial Narrow"/>
                <w:color w:val="FF0000"/>
                <w:sz w:val="18"/>
                <w:szCs w:val="18"/>
              </w:rPr>
              <w:t>0 lub 1  pkt.</w:t>
            </w:r>
          </w:p>
          <w:p w:rsidR="004E2FAC" w:rsidRDefault="004E2FAC" w:rsidP="004E2FAC">
            <w:pPr>
              <w:pStyle w:val="Bezodstpw"/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</w:rPr>
              <w:t xml:space="preserve"> c) cele LSR realizowane w ramach operacji są spójne, uzupełniają się  -   </w:t>
            </w:r>
            <w:r>
              <w:rPr>
                <w:rFonts w:ascii="Arial Narrow" w:hAnsi="Arial Narrow"/>
                <w:color w:val="FF0000"/>
                <w:sz w:val="18"/>
                <w:szCs w:val="18"/>
              </w:rPr>
              <w:t>0 lub 1 pkt.</w:t>
            </w:r>
          </w:p>
          <w:p w:rsidR="004E2FAC" w:rsidRPr="007D489F" w:rsidRDefault="004E2FAC" w:rsidP="004E2FAC">
            <w:pPr>
              <w:pStyle w:val="Bezodstpw"/>
              <w:rPr>
                <w:color w:val="FF0000"/>
                <w:sz w:val="18"/>
                <w:szCs w:val="18"/>
              </w:rPr>
            </w:pPr>
          </w:p>
        </w:tc>
        <w:tc>
          <w:tcPr>
            <w:tcW w:w="5156" w:type="dxa"/>
          </w:tcPr>
          <w:p w:rsidR="004E2FAC" w:rsidRPr="007D489F" w:rsidRDefault="004E2FAC" w:rsidP="004E2FA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7D489F">
              <w:rPr>
                <w:rFonts w:ascii="Calibri" w:hAnsi="Calibri"/>
                <w:color w:val="FF0000"/>
                <w:sz w:val="18"/>
                <w:szCs w:val="18"/>
              </w:rPr>
              <w:t>Kryterium adekwatne do analizy SWOT z której wynika, iż na obszarze objętym LSR brakuje wspólnych, zintegrowanych działań, spójnych pod względem celów strategicznych, w których wykorzystane są zasoby lokalne, w tym doświadczenie i wiedza różnych podmiotów.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  <w:vAlign w:val="center"/>
          </w:tcPr>
          <w:p w:rsidR="004E2FAC" w:rsidRPr="00C263D9" w:rsidRDefault="004E2FAC" w:rsidP="004E2FAC">
            <w:pPr>
              <w:tabs>
                <w:tab w:val="right" w:pos="5454"/>
              </w:tabs>
              <w:snapToGrid w:val="0"/>
              <w:spacing w:line="240" w:lineRule="exact"/>
              <w:ind w:left="34" w:firstLine="141"/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C263D9">
              <w:rPr>
                <w:rFonts w:ascii="Arial Narrow" w:hAnsi="Arial Narrow"/>
                <w:color w:val="FF0000"/>
                <w:sz w:val="18"/>
                <w:szCs w:val="18"/>
              </w:rPr>
              <w:t>7. Wnioskodawca korzystał z doradztwa LGD</w:t>
            </w:r>
          </w:p>
          <w:p w:rsidR="004E2FAC" w:rsidRPr="00C263D9" w:rsidRDefault="004E2FAC" w:rsidP="004E2FAC">
            <w:pPr>
              <w:pStyle w:val="Bezodstpw"/>
              <w:ind w:left="360"/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C263D9">
              <w:rPr>
                <w:rFonts w:ascii="Arial Narrow" w:hAnsi="Arial Narrow"/>
                <w:color w:val="FF0000"/>
                <w:sz w:val="18"/>
                <w:szCs w:val="18"/>
              </w:rPr>
              <w:t>- tak – 2 pkt.</w:t>
            </w:r>
          </w:p>
          <w:p w:rsidR="004E2FAC" w:rsidRPr="00875984" w:rsidRDefault="004E2FAC" w:rsidP="004E2FAC">
            <w:pPr>
              <w:pStyle w:val="Bezodstpw"/>
              <w:rPr>
                <w:color w:val="FF0000"/>
                <w:sz w:val="18"/>
                <w:szCs w:val="18"/>
              </w:rPr>
            </w:pPr>
            <w:r w:rsidRPr="00C263D9"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- nie – 0 pkt.</w:t>
            </w:r>
          </w:p>
        </w:tc>
        <w:tc>
          <w:tcPr>
            <w:tcW w:w="5156" w:type="dxa"/>
          </w:tcPr>
          <w:p w:rsidR="004E2FAC" w:rsidRPr="00875984" w:rsidRDefault="004E2FAC" w:rsidP="004E2FA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875984">
              <w:rPr>
                <w:rFonts w:ascii="Calibri" w:hAnsi="Calibri"/>
                <w:color w:val="FF0000"/>
                <w:sz w:val="18"/>
                <w:szCs w:val="18"/>
              </w:rPr>
              <w:t xml:space="preserve">Ze względu na </w:t>
            </w:r>
            <w:r>
              <w:rPr>
                <w:rFonts w:ascii="Calibri" w:hAnsi="Calibri"/>
                <w:color w:val="FF0000"/>
                <w:sz w:val="18"/>
                <w:szCs w:val="18"/>
              </w:rPr>
              <w:t>dużą liczbę odmów przyznania pomocy preferowane będą projekty objęte doradztwem LGD, co ma wpłynąć na zwiększenie liczby podpisanych umów.</w:t>
            </w: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</w:tcPr>
          <w:p w:rsidR="004E2FAC" w:rsidRPr="007D489F" w:rsidRDefault="004E2FAC" w:rsidP="004E2FAC">
            <w:pPr>
              <w:rPr>
                <w:rFonts w:ascii="Calibri" w:hAnsi="Calibri"/>
                <w:b/>
                <w:sz w:val="18"/>
                <w:szCs w:val="18"/>
              </w:rPr>
            </w:pPr>
            <w:r w:rsidRPr="007D489F">
              <w:rPr>
                <w:rFonts w:ascii="Calibri" w:hAnsi="Calibri"/>
                <w:b/>
                <w:sz w:val="18"/>
                <w:szCs w:val="18"/>
              </w:rPr>
              <w:t xml:space="preserve">Maksymalna SUMA PUNKTÓW </w:t>
            </w:r>
            <w:r w:rsidRPr="007D489F">
              <w:rPr>
                <w:rFonts w:ascii="Calibri" w:hAnsi="Calibri"/>
                <w:b/>
                <w:color w:val="FF0000"/>
                <w:sz w:val="18"/>
                <w:szCs w:val="18"/>
              </w:rPr>
              <w:t>21</w:t>
            </w:r>
          </w:p>
        </w:tc>
        <w:tc>
          <w:tcPr>
            <w:tcW w:w="5156" w:type="dxa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3181" w:type="dxa"/>
          </w:tcPr>
          <w:p w:rsidR="004E2FAC" w:rsidRPr="007D489F" w:rsidRDefault="004E2FAC" w:rsidP="004E2FAC">
            <w:pPr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 w:rsidRPr="007D489F">
              <w:rPr>
                <w:rFonts w:ascii="Calibri" w:hAnsi="Calibri"/>
                <w:b/>
                <w:color w:val="FF0000"/>
                <w:sz w:val="18"/>
                <w:szCs w:val="18"/>
              </w:rPr>
              <w:t xml:space="preserve">Minimalna wymagana średnia  ilość punktów 11 </w:t>
            </w:r>
          </w:p>
        </w:tc>
        <w:tc>
          <w:tcPr>
            <w:tcW w:w="5156" w:type="dxa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</w:tr>
      <w:tr w:rsidR="004E2FAC" w:rsidTr="004E2FAC">
        <w:tc>
          <w:tcPr>
            <w:tcW w:w="951" w:type="dxa"/>
            <w:vMerge/>
            <w:shd w:val="clear" w:color="auto" w:fill="B6DDE8" w:themeFill="accent5" w:themeFillTint="66"/>
          </w:tcPr>
          <w:p w:rsidR="004E2FAC" w:rsidRDefault="004E2FAC" w:rsidP="004E2FAC">
            <w:pPr>
              <w:rPr>
                <w:rFonts w:ascii="Calibri" w:hAnsi="Calibri"/>
              </w:rPr>
            </w:pPr>
          </w:p>
        </w:tc>
        <w:tc>
          <w:tcPr>
            <w:tcW w:w="8337" w:type="dxa"/>
            <w:gridSpan w:val="2"/>
          </w:tcPr>
          <w:p w:rsidR="004E2FAC" w:rsidRDefault="004E2FAC" w:rsidP="004E2FAC">
            <w:pPr>
              <w:rPr>
                <w:rFonts w:ascii="Calibri" w:hAnsi="Calibri"/>
              </w:rPr>
            </w:pPr>
            <w:r w:rsidRPr="007D489F">
              <w:rPr>
                <w:rFonts w:ascii="Calibri" w:hAnsi="Calibri"/>
                <w:sz w:val="18"/>
                <w:szCs w:val="18"/>
              </w:rPr>
              <w:t>Źródła weryfikacji: wniosek o dofinansowanie, załącznik „Opis operacji pod kątem lokalnych kryteriów wyboru dla działania „ Odnowa i rozwój wsi” oraz inne zaświadczenia</w:t>
            </w:r>
          </w:p>
        </w:tc>
      </w:tr>
    </w:tbl>
    <w:p w:rsidR="00B87238" w:rsidRDefault="00B87238"/>
    <w:sectPr w:rsidR="00B872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238" w:rsidRDefault="00B87238" w:rsidP="004E2FAC">
      <w:pPr>
        <w:spacing w:after="0" w:line="240" w:lineRule="auto"/>
      </w:pPr>
      <w:r>
        <w:separator/>
      </w:r>
    </w:p>
  </w:endnote>
  <w:endnote w:type="continuationSeparator" w:id="1">
    <w:p w:rsidR="00B87238" w:rsidRDefault="00B87238" w:rsidP="004E2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238" w:rsidRDefault="00B87238" w:rsidP="004E2FAC">
      <w:pPr>
        <w:spacing w:after="0" w:line="240" w:lineRule="auto"/>
      </w:pPr>
      <w:r>
        <w:separator/>
      </w:r>
    </w:p>
  </w:footnote>
  <w:footnote w:type="continuationSeparator" w:id="1">
    <w:p w:rsidR="00B87238" w:rsidRDefault="00B87238" w:rsidP="004E2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FAC" w:rsidRPr="004E2FAC" w:rsidRDefault="004E2FAC" w:rsidP="004E2FAC">
    <w:pPr>
      <w:rPr>
        <w:rFonts w:cs="Calibri"/>
        <w:b/>
        <w:sz w:val="24"/>
        <w:szCs w:val="24"/>
      </w:rPr>
    </w:pPr>
    <w:r>
      <w:rPr>
        <w:b/>
        <w:sz w:val="24"/>
        <w:szCs w:val="24"/>
      </w:rPr>
      <w:t xml:space="preserve">Lokalne kryteria wyboru </w:t>
    </w:r>
    <w:r w:rsidRPr="00875984">
      <w:rPr>
        <w:b/>
        <w:sz w:val="24"/>
        <w:szCs w:val="24"/>
      </w:rPr>
      <w:t>dla działania „</w:t>
    </w:r>
    <w:r>
      <w:rPr>
        <w:rFonts w:cs="Calibri"/>
        <w:b/>
        <w:sz w:val="24"/>
        <w:szCs w:val="24"/>
      </w:rPr>
      <w:t>Odnowa i rozwój wsi”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E00AE"/>
    <w:multiLevelType w:val="hybridMultilevel"/>
    <w:tmpl w:val="4ED81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2FAC"/>
    <w:rsid w:val="004E2FAC"/>
    <w:rsid w:val="00B87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4E2FA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BezodstpwZnak">
    <w:name w:val="Bez odstępów Znak"/>
    <w:basedOn w:val="Domylnaczcionkaakapitu"/>
    <w:link w:val="Bezodstpw"/>
    <w:rsid w:val="004E2FAC"/>
    <w:rPr>
      <w:rFonts w:ascii="Calibri" w:eastAsia="Times New Roman" w:hAnsi="Calibri" w:cs="Times New Roman"/>
      <w:lang w:eastAsia="en-US"/>
    </w:rPr>
  </w:style>
  <w:style w:type="table" w:styleId="Tabela-Siatka">
    <w:name w:val="Table Grid"/>
    <w:basedOn w:val="Standardowy"/>
    <w:uiPriority w:val="59"/>
    <w:rsid w:val="004E2F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4E2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2FAC"/>
  </w:style>
  <w:style w:type="paragraph" w:styleId="Stopka">
    <w:name w:val="footer"/>
    <w:basedOn w:val="Normalny"/>
    <w:link w:val="StopkaZnak"/>
    <w:uiPriority w:val="99"/>
    <w:semiHidden/>
    <w:unhideWhenUsed/>
    <w:rsid w:val="004E2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2F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528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2</cp:revision>
  <dcterms:created xsi:type="dcterms:W3CDTF">2013-06-12T12:38:00Z</dcterms:created>
  <dcterms:modified xsi:type="dcterms:W3CDTF">2013-06-12T12:39:00Z</dcterms:modified>
</cp:coreProperties>
</file>